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14" w:rsidRPr="004701B1" w:rsidRDefault="000F0674" w:rsidP="004701B1">
      <w:pPr>
        <w:jc w:val="center"/>
        <w:rPr>
          <w:b/>
          <w:sz w:val="28"/>
          <w:szCs w:val="28"/>
        </w:rPr>
      </w:pPr>
      <w:bookmarkStart w:id="0" w:name="_GoBack"/>
      <w:bookmarkEnd w:id="0"/>
      <w:r>
        <w:rPr>
          <w:b/>
          <w:sz w:val="28"/>
          <w:szCs w:val="28"/>
        </w:rPr>
        <w:t>FY 2018</w:t>
      </w:r>
      <w:r w:rsidR="00E23314" w:rsidRPr="006C0E96">
        <w:rPr>
          <w:b/>
          <w:sz w:val="28"/>
          <w:szCs w:val="28"/>
        </w:rPr>
        <w:t xml:space="preserve"> Continuum of Care (CoC) Program Competition NOFA Overview</w:t>
      </w:r>
      <w:r w:rsidR="0042262B">
        <w:rPr>
          <w:b/>
          <w:sz w:val="28"/>
          <w:szCs w:val="28"/>
        </w:rPr>
        <w:t xml:space="preserve"> </w:t>
      </w:r>
      <w:r>
        <w:rPr>
          <w:b/>
          <w:sz w:val="20"/>
          <w:szCs w:val="20"/>
        </w:rPr>
        <w:t>(6/29/18</w:t>
      </w:r>
      <w:r w:rsidR="0042262B" w:rsidRPr="0042262B">
        <w:rPr>
          <w:b/>
          <w:sz w:val="20"/>
          <w:szCs w:val="20"/>
        </w:rPr>
        <w:t>)</w:t>
      </w:r>
    </w:p>
    <w:p w:rsidR="00E23314" w:rsidRDefault="00E23314" w:rsidP="00E23314">
      <w:r>
        <w:t>Fun</w:t>
      </w:r>
      <w:r w:rsidR="00AD67FC">
        <w:t>ding Opportunity Number: FR-6200</w:t>
      </w:r>
      <w:r>
        <w:t>-N-25</w:t>
      </w:r>
      <w:r w:rsidR="00DE2D05">
        <w:t xml:space="preserve"> - </w:t>
      </w:r>
      <w:r>
        <w:t>CFDA Number: 14.267</w:t>
      </w:r>
    </w:p>
    <w:tbl>
      <w:tblPr>
        <w:tblStyle w:val="TableGrid"/>
        <w:tblW w:w="9805" w:type="dxa"/>
        <w:tblLook w:val="04A0" w:firstRow="1" w:lastRow="0" w:firstColumn="1" w:lastColumn="0" w:noHBand="0" w:noVBand="1"/>
      </w:tblPr>
      <w:tblGrid>
        <w:gridCol w:w="9805"/>
      </w:tblGrid>
      <w:tr w:rsidR="00E23314" w:rsidTr="006C0E96">
        <w:tc>
          <w:tcPr>
            <w:tcW w:w="9805" w:type="dxa"/>
            <w:shd w:val="clear" w:color="auto" w:fill="D9D9D9" w:themeFill="background1" w:themeFillShade="D9"/>
          </w:tcPr>
          <w:p w:rsidR="00E23314" w:rsidRPr="00EA4682" w:rsidRDefault="00E23314" w:rsidP="00E23314">
            <w:pPr>
              <w:rPr>
                <w:color w:val="1F497D"/>
              </w:rPr>
            </w:pPr>
            <w:r>
              <w:t>IMPORTANT PROJEC</w:t>
            </w:r>
            <w:r w:rsidR="0002125E">
              <w:t xml:space="preserve">T APPLICATION DATES &amp; DEADLINES </w:t>
            </w:r>
            <w:r w:rsidR="007D0226">
              <w:t>Central MN</w:t>
            </w:r>
            <w:r w:rsidR="0002125E">
              <w:t xml:space="preserve"> CoC</w:t>
            </w:r>
            <w:r w:rsidR="00B54B0B">
              <w:t xml:space="preserve"> – tentative (subject to change based on HUD availability in </w:t>
            </w:r>
            <w:proofErr w:type="spellStart"/>
            <w:r w:rsidR="00B54B0B">
              <w:t>eSnaps</w:t>
            </w:r>
            <w:proofErr w:type="spellEnd"/>
            <w:r w:rsidR="00B54B0B">
              <w:t xml:space="preserve"> and</w:t>
            </w:r>
            <w:r w:rsidR="0042262B">
              <w:t xml:space="preserve"> CoC </w:t>
            </w:r>
            <w:r w:rsidR="00B54B0B">
              <w:t>updates)</w:t>
            </w:r>
            <w:r w:rsidR="00EA4682">
              <w:t xml:space="preserve"> – </w:t>
            </w:r>
            <w:r w:rsidR="001A06BB">
              <w:t xml:space="preserve">Central MN </w:t>
            </w:r>
            <w:r w:rsidR="00EA4682">
              <w:t xml:space="preserve">CoC website: </w:t>
            </w:r>
            <w:r w:rsidR="001A06BB" w:rsidRPr="001A06BB">
              <w:t>https://www.cmhp.net/continuum-of-care-information</w:t>
            </w:r>
          </w:p>
          <w:p w:rsidR="004701B1" w:rsidRDefault="001A06BB" w:rsidP="00E23314">
            <w:pPr>
              <w:pStyle w:val="ListParagraph"/>
              <w:numPr>
                <w:ilvl w:val="0"/>
                <w:numId w:val="1"/>
              </w:numPr>
            </w:pPr>
            <w:r w:rsidRPr="00B52836">
              <w:rPr>
                <w:b/>
              </w:rPr>
              <w:t>July 5</w:t>
            </w:r>
            <w:r w:rsidR="00BE39CE" w:rsidRPr="00B52836">
              <w:rPr>
                <w:b/>
              </w:rPr>
              <w:t>, 2018</w:t>
            </w:r>
            <w:r w:rsidR="00DE2D05">
              <w:t xml:space="preserve"> </w:t>
            </w:r>
            <w:proofErr w:type="gramStart"/>
            <w:r w:rsidR="00DE2D05" w:rsidRPr="00B52836">
              <w:t xml:space="preserve">- </w:t>
            </w:r>
            <w:r w:rsidR="004701B1" w:rsidRPr="00B52836">
              <w:t xml:space="preserve"> </w:t>
            </w:r>
            <w:r w:rsidR="00B52836" w:rsidRPr="00870B88">
              <w:rPr>
                <w:rFonts w:cstheme="minorHAnsi"/>
              </w:rPr>
              <w:t>New</w:t>
            </w:r>
            <w:proofErr w:type="gramEnd"/>
            <w:r w:rsidR="00B52836" w:rsidRPr="00870B88">
              <w:rPr>
                <w:rFonts w:cstheme="minorHAnsi"/>
              </w:rPr>
              <w:t xml:space="preserve"> Project pre-application RFP release </w:t>
            </w:r>
            <w:r w:rsidR="00B52836">
              <w:rPr>
                <w:rFonts w:cstheme="minorHAnsi"/>
              </w:rPr>
              <w:t>through Central MN CoC portal – posted on CMHP</w:t>
            </w:r>
            <w:r w:rsidR="00B52836" w:rsidRPr="00870B88">
              <w:rPr>
                <w:rFonts w:cstheme="minorHAnsi"/>
              </w:rPr>
              <w:t xml:space="preserve"> website</w:t>
            </w:r>
            <w:r w:rsidR="00B52836">
              <w:rPr>
                <w:rFonts w:cstheme="minorHAnsi"/>
              </w:rPr>
              <w:t xml:space="preserve"> and distributed on </w:t>
            </w:r>
            <w:r w:rsidR="00B52836" w:rsidRPr="00870B88">
              <w:rPr>
                <w:rFonts w:cstheme="minorHAnsi"/>
              </w:rPr>
              <w:t>CoC listserv</w:t>
            </w:r>
            <w:r w:rsidR="00B52836">
              <w:rPr>
                <w:rFonts w:cstheme="minorHAnsi"/>
              </w:rPr>
              <w:t>.</w:t>
            </w:r>
          </w:p>
          <w:p w:rsidR="00E23314" w:rsidRDefault="00BF5FA0" w:rsidP="00E23314">
            <w:pPr>
              <w:pStyle w:val="ListParagraph"/>
              <w:numPr>
                <w:ilvl w:val="0"/>
                <w:numId w:val="1"/>
              </w:numPr>
            </w:pPr>
            <w:r>
              <w:rPr>
                <w:b/>
              </w:rPr>
              <w:t xml:space="preserve">July 18, </w:t>
            </w:r>
            <w:r w:rsidR="00BE39CE">
              <w:rPr>
                <w:b/>
              </w:rPr>
              <w:t>2018</w:t>
            </w:r>
            <w:r w:rsidR="00E23314">
              <w:t xml:space="preserve"> – </w:t>
            </w:r>
            <w:r w:rsidR="00DE2D05">
              <w:t xml:space="preserve">DUE - </w:t>
            </w:r>
            <w:r w:rsidR="00E23314">
              <w:t xml:space="preserve">Signed </w:t>
            </w:r>
            <w:r w:rsidR="00BE39CE">
              <w:rPr>
                <w:b/>
              </w:rPr>
              <w:t>Letter of I</w:t>
            </w:r>
            <w:r w:rsidR="00E23314" w:rsidRPr="00DE2D05">
              <w:rPr>
                <w:b/>
              </w:rPr>
              <w:t>ntent to Apply</w:t>
            </w:r>
            <w:r w:rsidR="00BE39CE">
              <w:t xml:space="preserve"> &amp; Threshold form </w:t>
            </w:r>
            <w:r w:rsidR="00E23314">
              <w:t>due to CoC via email in PDF format</w:t>
            </w:r>
            <w:r w:rsidR="00DE2D05">
              <w:t xml:space="preserve"> </w:t>
            </w:r>
            <w:r w:rsidR="00B64BA3">
              <w:t>(DO NOT SUBMIT IN E-SNAPS)</w:t>
            </w:r>
          </w:p>
          <w:p w:rsidR="00002277" w:rsidRDefault="00002277" w:rsidP="00E23314">
            <w:pPr>
              <w:pStyle w:val="ListParagraph"/>
              <w:numPr>
                <w:ilvl w:val="0"/>
                <w:numId w:val="1"/>
              </w:numPr>
            </w:pPr>
            <w:r>
              <w:rPr>
                <w:b/>
              </w:rPr>
              <w:t xml:space="preserve">July 25 </w:t>
            </w:r>
            <w:r>
              <w:t xml:space="preserve">– DUE - Signed </w:t>
            </w:r>
            <w:r>
              <w:rPr>
                <w:b/>
              </w:rPr>
              <w:t>Letter of I</w:t>
            </w:r>
            <w:r w:rsidRPr="00DE2D05">
              <w:rPr>
                <w:b/>
              </w:rPr>
              <w:t>ntent to Apply</w:t>
            </w:r>
            <w:r>
              <w:t xml:space="preserve"> &amp; Threshold form due to CoC via email in PDF format (DO NOT SUBMIT IN E-SNAPS)</w:t>
            </w:r>
          </w:p>
          <w:p w:rsidR="00E23314" w:rsidRDefault="00ED068C" w:rsidP="00E23314">
            <w:pPr>
              <w:pStyle w:val="ListParagraph"/>
              <w:numPr>
                <w:ilvl w:val="0"/>
                <w:numId w:val="1"/>
              </w:numPr>
            </w:pPr>
            <w:r w:rsidRPr="00ED068C">
              <w:rPr>
                <w:b/>
              </w:rPr>
              <w:t>July 20</w:t>
            </w:r>
            <w:r w:rsidR="00E23314">
              <w:t xml:space="preserve"> – Project Application Lab </w:t>
            </w:r>
          </w:p>
          <w:p w:rsidR="004701B1" w:rsidRDefault="00B52836" w:rsidP="00E23314">
            <w:pPr>
              <w:pStyle w:val="ListParagraph"/>
              <w:numPr>
                <w:ilvl w:val="0"/>
                <w:numId w:val="1"/>
              </w:numPr>
            </w:pPr>
            <w:r>
              <w:rPr>
                <w:b/>
              </w:rPr>
              <w:t>August 10</w:t>
            </w:r>
            <w:r w:rsidR="00E62A4B" w:rsidRPr="001A06BB">
              <w:rPr>
                <w:b/>
              </w:rPr>
              <w:t>, 2018</w:t>
            </w:r>
            <w:r w:rsidR="004701B1">
              <w:t xml:space="preserve"> –</w:t>
            </w:r>
            <w:r w:rsidR="001A06BB">
              <w:t>Project applications submitted to CoC via PDF for ranking</w:t>
            </w:r>
          </w:p>
          <w:p w:rsidR="007136B4" w:rsidRDefault="00B52836" w:rsidP="00E23314">
            <w:pPr>
              <w:pStyle w:val="ListParagraph"/>
              <w:numPr>
                <w:ilvl w:val="0"/>
                <w:numId w:val="1"/>
              </w:numPr>
            </w:pPr>
            <w:proofErr w:type="gramStart"/>
            <w:r>
              <w:rPr>
                <w:b/>
              </w:rPr>
              <w:t>TBD ?</w:t>
            </w:r>
            <w:proofErr w:type="gramEnd"/>
            <w:r>
              <w:rPr>
                <w:b/>
              </w:rPr>
              <w:t xml:space="preserve"> </w:t>
            </w:r>
            <w:r w:rsidR="007D0226">
              <w:rPr>
                <w:b/>
              </w:rPr>
              <w:t>Week of August 20</w:t>
            </w:r>
            <w:r w:rsidR="007136B4">
              <w:rPr>
                <w:b/>
              </w:rPr>
              <w:t xml:space="preserve"> </w:t>
            </w:r>
            <w:r w:rsidR="007136B4">
              <w:t>– Scoring and ranking of Project Applications</w:t>
            </w:r>
          </w:p>
          <w:p w:rsidR="0021519C" w:rsidRDefault="00ED068C" w:rsidP="00B64BA3">
            <w:pPr>
              <w:pStyle w:val="ListParagraph"/>
              <w:numPr>
                <w:ilvl w:val="0"/>
                <w:numId w:val="1"/>
              </w:numPr>
            </w:pPr>
            <w:r>
              <w:rPr>
                <w:b/>
              </w:rPr>
              <w:t>August 31</w:t>
            </w:r>
            <w:r w:rsidR="001A06BB">
              <w:rPr>
                <w:b/>
              </w:rPr>
              <w:t xml:space="preserve">, 2018  - </w:t>
            </w:r>
            <w:r w:rsidR="001A06BB" w:rsidRPr="001A06BB">
              <w:t>CoC vote on Scoring and ranking of Project applications</w:t>
            </w:r>
            <w:r w:rsidR="000401F8" w:rsidRPr="001A06BB">
              <w:t xml:space="preserve"> </w:t>
            </w:r>
          </w:p>
          <w:p w:rsidR="00C21959" w:rsidRDefault="00C21959" w:rsidP="00B64BA3">
            <w:pPr>
              <w:pStyle w:val="ListParagraph"/>
              <w:numPr>
                <w:ilvl w:val="0"/>
                <w:numId w:val="1"/>
              </w:numPr>
            </w:pPr>
            <w:r>
              <w:rPr>
                <w:b/>
              </w:rPr>
              <w:t>September 7</w:t>
            </w:r>
            <w:r w:rsidRPr="00C21959">
              <w:rPr>
                <w:b/>
                <w:vertAlign w:val="superscript"/>
              </w:rPr>
              <w:t>th</w:t>
            </w:r>
            <w:r>
              <w:rPr>
                <w:b/>
              </w:rPr>
              <w:t xml:space="preserve"> –</w:t>
            </w:r>
            <w:r>
              <w:t xml:space="preserve"> Project applications submitted to HUD via eSNAPS</w:t>
            </w:r>
          </w:p>
          <w:p w:rsidR="00E23314" w:rsidRDefault="001A06BB" w:rsidP="00E23314">
            <w:pPr>
              <w:pStyle w:val="ListParagraph"/>
              <w:numPr>
                <w:ilvl w:val="0"/>
                <w:numId w:val="1"/>
              </w:numPr>
            </w:pPr>
            <w:r w:rsidRPr="00B52836">
              <w:rPr>
                <w:b/>
              </w:rPr>
              <w:t>September 11</w:t>
            </w:r>
            <w:r w:rsidR="00B64BA3" w:rsidRPr="00B52836">
              <w:rPr>
                <w:b/>
              </w:rPr>
              <w:t>, 2018</w:t>
            </w:r>
            <w:r w:rsidR="00E23314">
              <w:t xml:space="preserve"> – Project Applications notified of inclusion in CoC Collaborative Application</w:t>
            </w:r>
          </w:p>
          <w:p w:rsidR="00E23314" w:rsidRDefault="00E23314" w:rsidP="00A21084">
            <w:pPr>
              <w:pStyle w:val="ListParagraph"/>
              <w:numPr>
                <w:ilvl w:val="0"/>
                <w:numId w:val="1"/>
              </w:numPr>
            </w:pPr>
            <w:r w:rsidRPr="00B52836">
              <w:rPr>
                <w:b/>
              </w:rPr>
              <w:t>S</w:t>
            </w:r>
            <w:r w:rsidR="001A06BB" w:rsidRPr="00B52836">
              <w:rPr>
                <w:b/>
              </w:rPr>
              <w:t>eptember 12</w:t>
            </w:r>
            <w:r w:rsidR="00F777D8" w:rsidRPr="00B52836">
              <w:rPr>
                <w:b/>
              </w:rPr>
              <w:t>, 2018</w:t>
            </w:r>
            <w:r w:rsidR="00F777D8">
              <w:t xml:space="preserve"> </w:t>
            </w:r>
            <w:r>
              <w:t xml:space="preserve"> – Appeals to HUD if rejected by CoC</w:t>
            </w:r>
          </w:p>
        </w:tc>
      </w:tr>
    </w:tbl>
    <w:p w:rsidR="00E23314" w:rsidRDefault="00E23314" w:rsidP="00E23314">
      <w:pPr>
        <w:rPr>
          <w:i/>
        </w:rPr>
      </w:pPr>
      <w:r w:rsidRPr="00E23314">
        <w:rPr>
          <w:u w:val="single"/>
        </w:rPr>
        <w:t>HUD CoC Consolidated Application Deadline</w:t>
      </w:r>
      <w:r>
        <w:t xml:space="preserve">:  </w:t>
      </w:r>
      <w:r w:rsidR="002F4CD0">
        <w:t>September 1</w:t>
      </w:r>
      <w:r w:rsidR="00D11DDF">
        <w:t>8, 2018</w:t>
      </w:r>
      <w:r w:rsidR="00782591">
        <w:t xml:space="preserve"> @ 8:00</w:t>
      </w:r>
      <w:r>
        <w:t xml:space="preserve"> PM</w:t>
      </w:r>
      <w:r w:rsidR="00782591">
        <w:t xml:space="preserve"> - EST</w:t>
      </w:r>
      <w:r>
        <w:t xml:space="preserve">.  </w:t>
      </w:r>
      <w:r w:rsidRPr="00E23314">
        <w:rPr>
          <w:b/>
        </w:rPr>
        <w:t>Note:</w:t>
      </w:r>
      <w:r>
        <w:t xml:space="preserve">  </w:t>
      </w:r>
      <w:r w:rsidRPr="00E23314">
        <w:rPr>
          <w:i/>
        </w:rPr>
        <w:t>Project Applications must be submitted by the Project deadlines NOT the Consolidated Application deadline.</w:t>
      </w:r>
    </w:p>
    <w:p w:rsidR="003C624F" w:rsidRDefault="00B52836" w:rsidP="00E23314">
      <w:pPr>
        <w:rPr>
          <w:u w:val="single"/>
        </w:rPr>
      </w:pPr>
      <w:r>
        <w:rPr>
          <w:u w:val="single"/>
        </w:rPr>
        <w:t>Central MN CoC 505</w:t>
      </w:r>
      <w:r w:rsidR="002F4CD0">
        <w:rPr>
          <w:u w:val="single"/>
        </w:rPr>
        <w:t xml:space="preserve"> FY 2018</w:t>
      </w:r>
      <w:r w:rsidR="003C624F">
        <w:rPr>
          <w:u w:val="single"/>
        </w:rPr>
        <w:t>:</w:t>
      </w:r>
    </w:p>
    <w:tbl>
      <w:tblPr>
        <w:tblStyle w:val="TableGrid"/>
        <w:tblW w:w="9805" w:type="dxa"/>
        <w:tblLook w:val="04A0" w:firstRow="1" w:lastRow="0" w:firstColumn="1" w:lastColumn="0" w:noHBand="0" w:noVBand="1"/>
      </w:tblPr>
      <w:tblGrid>
        <w:gridCol w:w="1615"/>
        <w:gridCol w:w="8190"/>
      </w:tblGrid>
      <w:tr w:rsidR="00200F15" w:rsidTr="00B17269">
        <w:tc>
          <w:tcPr>
            <w:tcW w:w="1615" w:type="dxa"/>
            <w:shd w:val="clear" w:color="auto" w:fill="D9D9D9" w:themeFill="background1" w:themeFillShade="D9"/>
          </w:tcPr>
          <w:p w:rsidR="00200F15" w:rsidRDefault="00200F15" w:rsidP="002F4CD0">
            <w:r>
              <w:t>$</w:t>
            </w:r>
            <w:r w:rsidR="003150A8">
              <w:t>1,437,047</w:t>
            </w:r>
          </w:p>
        </w:tc>
        <w:tc>
          <w:tcPr>
            <w:tcW w:w="8190" w:type="dxa"/>
            <w:shd w:val="clear" w:color="auto" w:fill="D9D9D9" w:themeFill="background1" w:themeFillShade="D9"/>
          </w:tcPr>
          <w:p w:rsidR="00200F15" w:rsidRDefault="00200F15" w:rsidP="005D038D">
            <w:r>
              <w:t>Primary Pro-Rata Need (PPRN)</w:t>
            </w:r>
          </w:p>
        </w:tc>
      </w:tr>
      <w:tr w:rsidR="00200F15" w:rsidTr="00B17269">
        <w:tc>
          <w:tcPr>
            <w:tcW w:w="1615" w:type="dxa"/>
            <w:shd w:val="clear" w:color="auto" w:fill="D9D9D9" w:themeFill="background1" w:themeFillShade="D9"/>
          </w:tcPr>
          <w:p w:rsidR="00200F15" w:rsidRDefault="002F4CD0" w:rsidP="005D038D">
            <w:r>
              <w:t>$</w:t>
            </w:r>
            <w:r w:rsidR="004754B2">
              <w:t>1,34</w:t>
            </w:r>
            <w:r w:rsidR="003150A8">
              <w:t>8,207</w:t>
            </w:r>
          </w:p>
        </w:tc>
        <w:tc>
          <w:tcPr>
            <w:tcW w:w="8190" w:type="dxa"/>
            <w:shd w:val="clear" w:color="auto" w:fill="D9D9D9" w:themeFill="background1" w:themeFillShade="D9"/>
          </w:tcPr>
          <w:p w:rsidR="00200F15" w:rsidRDefault="00200F15" w:rsidP="005D038D">
            <w:r>
              <w:t>Estimated Annual Renewal Demand (ARD)</w:t>
            </w:r>
          </w:p>
        </w:tc>
      </w:tr>
      <w:tr w:rsidR="00200F15" w:rsidTr="00B17269">
        <w:tc>
          <w:tcPr>
            <w:tcW w:w="1615" w:type="dxa"/>
            <w:shd w:val="clear" w:color="auto" w:fill="D9D9D9" w:themeFill="background1" w:themeFillShade="D9"/>
          </w:tcPr>
          <w:p w:rsidR="00200F15" w:rsidRDefault="002F4CD0" w:rsidP="005D038D">
            <w:r>
              <w:t>$</w:t>
            </w:r>
            <w:r w:rsidR="003150A8">
              <w:t>1,267,315</w:t>
            </w:r>
          </w:p>
        </w:tc>
        <w:tc>
          <w:tcPr>
            <w:tcW w:w="8190" w:type="dxa"/>
            <w:shd w:val="clear" w:color="auto" w:fill="D9D9D9" w:themeFill="background1" w:themeFillShade="D9"/>
          </w:tcPr>
          <w:p w:rsidR="00200F15" w:rsidRDefault="00200F15" w:rsidP="005D038D">
            <w:r>
              <w:t>Tier 1 (94% of ARD)</w:t>
            </w:r>
          </w:p>
        </w:tc>
      </w:tr>
      <w:tr w:rsidR="00200F15" w:rsidTr="00B17269">
        <w:tc>
          <w:tcPr>
            <w:tcW w:w="1615" w:type="dxa"/>
            <w:shd w:val="clear" w:color="auto" w:fill="D9D9D9" w:themeFill="background1" w:themeFillShade="D9"/>
          </w:tcPr>
          <w:p w:rsidR="00200F15" w:rsidRDefault="002F4CD0" w:rsidP="005D038D">
            <w:r>
              <w:t>$</w:t>
            </w:r>
            <w:r w:rsidR="003150A8">
              <w:t>80,892</w:t>
            </w:r>
          </w:p>
        </w:tc>
        <w:tc>
          <w:tcPr>
            <w:tcW w:w="8190" w:type="dxa"/>
            <w:shd w:val="clear" w:color="auto" w:fill="D9D9D9" w:themeFill="background1" w:themeFillShade="D9"/>
          </w:tcPr>
          <w:p w:rsidR="00200F15" w:rsidRDefault="00200F15" w:rsidP="005D038D">
            <w:r>
              <w:t>Tier 2 (6% of ARD)</w:t>
            </w:r>
          </w:p>
        </w:tc>
      </w:tr>
      <w:tr w:rsidR="00200F15" w:rsidTr="00B17269">
        <w:tc>
          <w:tcPr>
            <w:tcW w:w="1615" w:type="dxa"/>
            <w:shd w:val="clear" w:color="auto" w:fill="D9D9D9" w:themeFill="background1" w:themeFillShade="D9"/>
          </w:tcPr>
          <w:p w:rsidR="00200F15" w:rsidRDefault="002F4CD0" w:rsidP="005D038D">
            <w:r>
              <w:t>$</w:t>
            </w:r>
            <w:r w:rsidR="004754B2">
              <w:t>86,223</w:t>
            </w:r>
          </w:p>
        </w:tc>
        <w:tc>
          <w:tcPr>
            <w:tcW w:w="8190" w:type="dxa"/>
            <w:shd w:val="clear" w:color="auto" w:fill="D9D9D9" w:themeFill="background1" w:themeFillShade="D9"/>
          </w:tcPr>
          <w:p w:rsidR="00200F15" w:rsidRDefault="00200F15" w:rsidP="005D038D">
            <w:r>
              <w:t>Permanent Housing Bonus opportunity</w:t>
            </w:r>
          </w:p>
        </w:tc>
      </w:tr>
      <w:tr w:rsidR="002F4CD0" w:rsidTr="00B17269">
        <w:tc>
          <w:tcPr>
            <w:tcW w:w="1615" w:type="dxa"/>
            <w:shd w:val="clear" w:color="auto" w:fill="D9D9D9" w:themeFill="background1" w:themeFillShade="D9"/>
          </w:tcPr>
          <w:p w:rsidR="002F4CD0" w:rsidRDefault="002F4CD0" w:rsidP="002F4CD0">
            <w:r>
              <w:t>$</w:t>
            </w:r>
            <w:r w:rsidR="003150A8">
              <w:t>143,704</w:t>
            </w:r>
          </w:p>
        </w:tc>
        <w:tc>
          <w:tcPr>
            <w:tcW w:w="8190" w:type="dxa"/>
            <w:shd w:val="clear" w:color="auto" w:fill="D9D9D9" w:themeFill="background1" w:themeFillShade="D9"/>
          </w:tcPr>
          <w:p w:rsidR="002F4CD0" w:rsidRDefault="002F4CD0" w:rsidP="005D038D">
            <w:r>
              <w:t>DV Permanent Housing Bonus opportunity</w:t>
            </w:r>
            <w:r w:rsidR="00A71DA5">
              <w:t xml:space="preserve"> (10% PPRN)</w:t>
            </w:r>
          </w:p>
        </w:tc>
      </w:tr>
    </w:tbl>
    <w:p w:rsidR="003C624F" w:rsidRDefault="003C624F" w:rsidP="00E23314">
      <w:pPr>
        <w:rPr>
          <w:u w:val="single"/>
        </w:rPr>
      </w:pPr>
    </w:p>
    <w:p w:rsidR="00E23314" w:rsidRDefault="002F4CD0" w:rsidP="00E23314">
      <w:pPr>
        <w:rPr>
          <w:u w:val="single"/>
        </w:rPr>
      </w:pPr>
      <w:r>
        <w:rPr>
          <w:u w:val="single"/>
        </w:rPr>
        <w:t>Highlights of the 2018</w:t>
      </w:r>
      <w:r w:rsidR="00E23314" w:rsidRPr="00E23314">
        <w:rPr>
          <w:u w:val="single"/>
        </w:rPr>
        <w:t xml:space="preserve"> CoC NOFA:</w:t>
      </w:r>
    </w:p>
    <w:p w:rsidR="00E23314" w:rsidRPr="00E23314" w:rsidRDefault="00E23314" w:rsidP="00E23314">
      <w:pPr>
        <w:pStyle w:val="ListParagraph"/>
        <w:numPr>
          <w:ilvl w:val="0"/>
          <w:numId w:val="2"/>
        </w:numPr>
        <w:rPr>
          <w:u w:val="single"/>
        </w:rPr>
      </w:pPr>
      <w:r>
        <w:t>About $2</w:t>
      </w:r>
      <w:r w:rsidR="00782591">
        <w:t>.1</w:t>
      </w:r>
      <w:r>
        <w:t xml:space="preserve"> b</w:t>
      </w:r>
      <w:r w:rsidR="00A407ED">
        <w:t>illion is available for the FY18</w:t>
      </w:r>
      <w:r>
        <w:t xml:space="preserve"> CoC Program NOFA</w:t>
      </w:r>
      <w:r w:rsidR="00782591">
        <w:t>, including up to $50 million available for Domestic Viole</w:t>
      </w:r>
      <w:r w:rsidR="004754B2">
        <w:t>n</w:t>
      </w:r>
      <w:r w:rsidR="00782591">
        <w:t>ce (DV) Bonus projects</w:t>
      </w:r>
      <w:r>
        <w:t xml:space="preserve">.  </w:t>
      </w:r>
    </w:p>
    <w:p w:rsidR="00E23314" w:rsidRPr="003D6FD4" w:rsidRDefault="00E23314" w:rsidP="00E23314">
      <w:pPr>
        <w:pStyle w:val="ListParagraph"/>
        <w:numPr>
          <w:ilvl w:val="0"/>
          <w:numId w:val="2"/>
        </w:numPr>
        <w:rPr>
          <w:u w:val="single"/>
        </w:rPr>
      </w:pPr>
      <w:r>
        <w:t>HUD will continue to require CoC’s to rank all projects, except CoC planning, and is requiring placing projects into Tier 1 and Tier 2.  Tier 1 is equal to the greater of the combined amount of Annual Renewal Amount (ARA) for all permanent housing and HMIS projects eligible for renewal up to $1,000,000</w:t>
      </w:r>
      <w:r w:rsidR="003D6FD4">
        <w:t xml:space="preserve"> or 94% of the CoC’s FY 2</w:t>
      </w:r>
      <w:r w:rsidR="006939B6">
        <w:t>018</w:t>
      </w:r>
      <w:r w:rsidR="00524374">
        <w:t xml:space="preserve"> Annual Renewal Demand (ARD)</w:t>
      </w:r>
    </w:p>
    <w:p w:rsidR="003D6FD4" w:rsidRPr="003D6FD4" w:rsidRDefault="003D6FD4" w:rsidP="00E23314">
      <w:pPr>
        <w:pStyle w:val="ListParagraph"/>
        <w:numPr>
          <w:ilvl w:val="0"/>
          <w:numId w:val="2"/>
        </w:numPr>
        <w:rPr>
          <w:u w:val="single"/>
        </w:rPr>
      </w:pPr>
      <w:r>
        <w:t xml:space="preserve">Project Applications must abide by the </w:t>
      </w:r>
      <w:r w:rsidR="00782591">
        <w:t xml:space="preserve">local level </w:t>
      </w:r>
      <w:r>
        <w:t xml:space="preserve">CoC deadlines, meet HUD eligibility criteria, priorities and performance.  Reallocation should be </w:t>
      </w:r>
      <w:r w:rsidR="00524374">
        <w:t>c</w:t>
      </w:r>
      <w:r>
        <w:t xml:space="preserve">onsidered </w:t>
      </w:r>
      <w:r w:rsidR="00524374">
        <w:t xml:space="preserve">by the CoC </w:t>
      </w:r>
      <w:r>
        <w:t>for underperforming projects</w:t>
      </w:r>
      <w:r w:rsidR="00524374">
        <w:t xml:space="preserve"> to create new projects that improve overall performance and better respond to the needs</w:t>
      </w:r>
      <w:r>
        <w:t xml:space="preserve">.  Projects with outstanding HUD audit findings, history of ineligible participants, evidence of untimely expenditures, or financial management concerns, may be eliminated from the competition.  </w:t>
      </w:r>
    </w:p>
    <w:p w:rsidR="003D6FD4" w:rsidRPr="00524374" w:rsidRDefault="003D6FD4" w:rsidP="00E23314">
      <w:pPr>
        <w:pStyle w:val="ListParagraph"/>
        <w:numPr>
          <w:ilvl w:val="0"/>
          <w:numId w:val="2"/>
        </w:numPr>
        <w:rPr>
          <w:u w:val="single"/>
        </w:rPr>
      </w:pPr>
      <w:r>
        <w:lastRenderedPageBreak/>
        <w:t>Renewal projects requesting Rental Assistance may request a per-unit amount less than FMR based on actual rent costs and cannot request more than 100% FMR.</w:t>
      </w:r>
    </w:p>
    <w:p w:rsidR="00524374" w:rsidRPr="00524374" w:rsidRDefault="00524374" w:rsidP="00E23314">
      <w:pPr>
        <w:pStyle w:val="ListParagraph"/>
        <w:numPr>
          <w:ilvl w:val="0"/>
          <w:numId w:val="2"/>
        </w:numPr>
        <w:rPr>
          <w:u w:val="single"/>
        </w:rPr>
      </w:pPr>
      <w:r w:rsidRPr="00524374">
        <w:rPr>
          <w:u w:val="single"/>
        </w:rPr>
        <w:t>Performance-Based Decisions</w:t>
      </w:r>
      <w:r>
        <w:t xml:space="preserve"> – No new grants for new projects, other than through reallocation.  Increased score based on performance criteria. HUD prioritized funds for CoC ability to reallocate resources to higher performing projects.</w:t>
      </w:r>
    </w:p>
    <w:p w:rsidR="00524374" w:rsidRPr="001450E5" w:rsidRDefault="00524374" w:rsidP="00E23314">
      <w:pPr>
        <w:pStyle w:val="ListParagraph"/>
        <w:numPr>
          <w:ilvl w:val="0"/>
          <w:numId w:val="2"/>
        </w:numPr>
        <w:rPr>
          <w:u w:val="single"/>
        </w:rPr>
      </w:pPr>
      <w:r>
        <w:rPr>
          <w:u w:val="single"/>
        </w:rPr>
        <w:t xml:space="preserve">Transition Grants </w:t>
      </w:r>
      <w:r w:rsidR="001450E5">
        <w:t>–</w:t>
      </w:r>
      <w:r>
        <w:t xml:space="preserve"> </w:t>
      </w:r>
      <w:r w:rsidR="001450E5">
        <w:t xml:space="preserve">The ability of renewal projects to transition from one CoC component to another.  If interested, contact </w:t>
      </w:r>
      <w:r w:rsidR="003150A8">
        <w:t>AG Huot</w:t>
      </w:r>
      <w:r w:rsidR="001450E5">
        <w:t xml:space="preserve"> @ </w:t>
      </w:r>
      <w:hyperlink r:id="rId7" w:history="1">
        <w:r w:rsidR="003150A8" w:rsidRPr="008B0A90">
          <w:rPr>
            <w:rStyle w:val="Hyperlink"/>
          </w:rPr>
          <w:t>ag@cmhp.net</w:t>
        </w:r>
      </w:hyperlink>
      <w:r w:rsidR="003150A8">
        <w:t xml:space="preserve"> </w:t>
      </w:r>
      <w:r w:rsidR="001450E5">
        <w:t>to discuss further.</w:t>
      </w:r>
    </w:p>
    <w:p w:rsidR="001450E5" w:rsidRPr="001450E5" w:rsidRDefault="001450E5" w:rsidP="001450E5">
      <w:pPr>
        <w:pStyle w:val="ListParagraph"/>
        <w:numPr>
          <w:ilvl w:val="1"/>
          <w:numId w:val="2"/>
        </w:numPr>
        <w:rPr>
          <w:u w:val="single"/>
        </w:rPr>
      </w:pPr>
      <w:r>
        <w:t>No more than 50% may be used for costs of eligible activities originally funded.</w:t>
      </w:r>
    </w:p>
    <w:p w:rsidR="001450E5" w:rsidRPr="001450E5" w:rsidRDefault="001450E5" w:rsidP="001450E5">
      <w:pPr>
        <w:pStyle w:val="ListParagraph"/>
        <w:numPr>
          <w:ilvl w:val="1"/>
          <w:numId w:val="2"/>
        </w:numPr>
        <w:rPr>
          <w:u w:val="single"/>
        </w:rPr>
      </w:pPr>
      <w:r>
        <w:t>Eligible for renewals in future under new program component.</w:t>
      </w:r>
    </w:p>
    <w:p w:rsidR="001450E5" w:rsidRPr="001450E5" w:rsidRDefault="001450E5" w:rsidP="001450E5">
      <w:pPr>
        <w:pStyle w:val="ListParagraph"/>
        <w:numPr>
          <w:ilvl w:val="1"/>
          <w:numId w:val="2"/>
        </w:numPr>
        <w:rPr>
          <w:u w:val="single"/>
        </w:rPr>
      </w:pPr>
      <w:r>
        <w:t>Consent of CoC and meet standards in Section III.C.3.r of the NOFA.</w:t>
      </w:r>
    </w:p>
    <w:p w:rsidR="001450E5" w:rsidRPr="00A718B9" w:rsidRDefault="00A718B9" w:rsidP="001450E5">
      <w:pPr>
        <w:pStyle w:val="ListParagraph"/>
        <w:numPr>
          <w:ilvl w:val="0"/>
          <w:numId w:val="2"/>
        </w:numPr>
        <w:rPr>
          <w:u w:val="single"/>
        </w:rPr>
      </w:pPr>
      <w:r>
        <w:rPr>
          <w:u w:val="single"/>
        </w:rPr>
        <w:t xml:space="preserve">Consolidated </w:t>
      </w:r>
      <w:proofErr w:type="gramStart"/>
      <w:r>
        <w:rPr>
          <w:u w:val="single"/>
        </w:rPr>
        <w:t xml:space="preserve">Project </w:t>
      </w:r>
      <w:r>
        <w:t xml:space="preserve"> -</w:t>
      </w:r>
      <w:proofErr w:type="gramEnd"/>
      <w:r>
        <w:t xml:space="preserve"> renewal projects ability to consolidate 2 or more projects into 1 during the application process.</w:t>
      </w:r>
    </w:p>
    <w:p w:rsidR="00A718B9" w:rsidRPr="00A718B9" w:rsidRDefault="00A718B9" w:rsidP="00A718B9">
      <w:pPr>
        <w:pStyle w:val="ListParagraph"/>
        <w:numPr>
          <w:ilvl w:val="1"/>
          <w:numId w:val="2"/>
        </w:numPr>
        <w:rPr>
          <w:u w:val="single"/>
        </w:rPr>
      </w:pPr>
      <w:r>
        <w:t>No longer wait for grant agreement amendment process</w:t>
      </w:r>
    </w:p>
    <w:p w:rsidR="00A718B9" w:rsidRPr="00A718B9" w:rsidRDefault="00A718B9" w:rsidP="00A718B9">
      <w:pPr>
        <w:pStyle w:val="ListParagraph"/>
        <w:numPr>
          <w:ilvl w:val="1"/>
          <w:numId w:val="2"/>
        </w:numPr>
        <w:rPr>
          <w:u w:val="single"/>
        </w:rPr>
      </w:pPr>
      <w:r>
        <w:t>Consult with local HUD field office to ensure it is eligible</w:t>
      </w:r>
    </w:p>
    <w:p w:rsidR="00A718B9" w:rsidRPr="00A718B9" w:rsidRDefault="00A718B9" w:rsidP="00A718B9">
      <w:pPr>
        <w:pStyle w:val="ListParagraph"/>
        <w:numPr>
          <w:ilvl w:val="1"/>
          <w:numId w:val="2"/>
        </w:numPr>
        <w:rPr>
          <w:u w:val="single"/>
        </w:rPr>
      </w:pPr>
      <w:r>
        <w:t>Projects must have same recipient and be for same component</w:t>
      </w:r>
    </w:p>
    <w:p w:rsidR="00A718B9" w:rsidRDefault="00A718B9" w:rsidP="00A718B9">
      <w:pPr>
        <w:pStyle w:val="ListParagraph"/>
        <w:numPr>
          <w:ilvl w:val="1"/>
          <w:numId w:val="2"/>
        </w:numPr>
        <w:rPr>
          <w:u w:val="single"/>
        </w:rPr>
      </w:pPr>
      <w:r>
        <w:t xml:space="preserve">Still complete 2 Project Applications in </w:t>
      </w:r>
      <w:proofErr w:type="spellStart"/>
      <w:r>
        <w:t>eSnaps</w:t>
      </w:r>
      <w:proofErr w:type="spellEnd"/>
      <w:r>
        <w:t xml:space="preserve"> – it will be combined when contract is executed</w:t>
      </w:r>
    </w:p>
    <w:p w:rsidR="00524374" w:rsidRPr="001450E5" w:rsidRDefault="00524374" w:rsidP="00E23314">
      <w:pPr>
        <w:pStyle w:val="ListParagraph"/>
        <w:numPr>
          <w:ilvl w:val="0"/>
          <w:numId w:val="2"/>
        </w:numPr>
        <w:rPr>
          <w:u w:val="single"/>
        </w:rPr>
      </w:pPr>
      <w:r>
        <w:rPr>
          <w:u w:val="single"/>
        </w:rPr>
        <w:t>Domestic Violence Bonus</w:t>
      </w:r>
      <w:r w:rsidR="001450E5">
        <w:t>- $50 million in additional appropriations for CoC Bonus funds to include the</w:t>
      </w:r>
      <w:r>
        <w:t xml:space="preserve"> following</w:t>
      </w:r>
      <w:r w:rsidR="001450E5">
        <w:t>:</w:t>
      </w:r>
    </w:p>
    <w:p w:rsidR="001450E5" w:rsidRPr="00A718B9" w:rsidRDefault="00A718B9" w:rsidP="001450E5">
      <w:pPr>
        <w:pStyle w:val="ListParagraph"/>
        <w:numPr>
          <w:ilvl w:val="1"/>
          <w:numId w:val="2"/>
        </w:numPr>
        <w:rPr>
          <w:u w:val="single"/>
        </w:rPr>
      </w:pPr>
      <w:r>
        <w:t>Rapid Re-housing that follow a housing first approach</w:t>
      </w:r>
    </w:p>
    <w:p w:rsidR="00A718B9" w:rsidRPr="00A718B9" w:rsidRDefault="00A718B9" w:rsidP="001450E5">
      <w:pPr>
        <w:pStyle w:val="ListParagraph"/>
        <w:numPr>
          <w:ilvl w:val="1"/>
          <w:numId w:val="2"/>
        </w:numPr>
        <w:rPr>
          <w:u w:val="single"/>
        </w:rPr>
      </w:pPr>
      <w:r>
        <w:t>Joint TH and PH-RRH component projects that follow a housing first approach</w:t>
      </w:r>
    </w:p>
    <w:p w:rsidR="00A718B9" w:rsidRPr="003D6FD4" w:rsidRDefault="00A718B9" w:rsidP="001450E5">
      <w:pPr>
        <w:pStyle w:val="ListParagraph"/>
        <w:numPr>
          <w:ilvl w:val="1"/>
          <w:numId w:val="2"/>
        </w:numPr>
        <w:rPr>
          <w:u w:val="single"/>
        </w:rPr>
      </w:pPr>
      <w:r>
        <w:t>SSO Projects for Coordinated Entry (SSO-CE) to equip CoC’s Coordinated Entry to better meet the needs of DV survivors and to inform policies/procedures that are trauma-informed, client centered, or better coordinated referrals between CoC’s CES and victim service providers.</w:t>
      </w:r>
    </w:p>
    <w:p w:rsidR="003D6FD4" w:rsidRDefault="002E39B7" w:rsidP="007232B2">
      <w:pPr>
        <w:pStyle w:val="ListParagraph"/>
        <w:numPr>
          <w:ilvl w:val="0"/>
          <w:numId w:val="3"/>
        </w:numPr>
        <w:rPr>
          <w:u w:val="single"/>
        </w:rPr>
      </w:pPr>
      <w:r>
        <w:rPr>
          <w:u w:val="single"/>
        </w:rPr>
        <w:t>New projects created through Reallocation or Bonus -</w:t>
      </w:r>
    </w:p>
    <w:p w:rsidR="00DD1A1C" w:rsidRPr="002E39B7" w:rsidRDefault="007232B2" w:rsidP="00DD1A1C">
      <w:pPr>
        <w:pStyle w:val="ListParagraph"/>
        <w:numPr>
          <w:ilvl w:val="1"/>
          <w:numId w:val="3"/>
        </w:numPr>
        <w:rPr>
          <w:u w:val="single"/>
        </w:rPr>
      </w:pPr>
      <w:r>
        <w:t xml:space="preserve">New PSH serving 100% chronic homeless or meeting </w:t>
      </w:r>
      <w:proofErr w:type="spellStart"/>
      <w:r>
        <w:t>DedicatedPLUS</w:t>
      </w:r>
      <w:proofErr w:type="spellEnd"/>
      <w:r>
        <w:t xml:space="preserve"> criteria;</w:t>
      </w:r>
    </w:p>
    <w:p w:rsidR="002E39B7" w:rsidRPr="00DD1A1C" w:rsidRDefault="002E39B7" w:rsidP="00DD1A1C">
      <w:pPr>
        <w:pStyle w:val="ListParagraph"/>
        <w:numPr>
          <w:ilvl w:val="1"/>
          <w:numId w:val="3"/>
        </w:numPr>
        <w:rPr>
          <w:u w:val="single"/>
        </w:rPr>
      </w:pPr>
      <w:r>
        <w:t>New PH-RRH that will serve homeless individuals and families, including unaccompanied youth;</w:t>
      </w:r>
    </w:p>
    <w:p w:rsidR="007232B2" w:rsidRPr="007232B2" w:rsidRDefault="007232B2" w:rsidP="007232B2">
      <w:pPr>
        <w:pStyle w:val="ListParagraph"/>
        <w:numPr>
          <w:ilvl w:val="1"/>
          <w:numId w:val="3"/>
        </w:numPr>
        <w:rPr>
          <w:u w:val="single"/>
        </w:rPr>
      </w:pPr>
      <w:r>
        <w:t xml:space="preserve">New </w:t>
      </w:r>
      <w:r w:rsidR="002E39B7">
        <w:t>Supportive Service only (SSO-CE)</w:t>
      </w:r>
      <w:r>
        <w:t xml:space="preserve"> </w:t>
      </w:r>
      <w:r w:rsidR="002E39B7">
        <w:t>to operate a Coordinated Entry system;</w:t>
      </w:r>
    </w:p>
    <w:p w:rsidR="007232B2" w:rsidRPr="007232B2" w:rsidRDefault="007232B2" w:rsidP="007232B2">
      <w:pPr>
        <w:pStyle w:val="ListParagraph"/>
        <w:numPr>
          <w:ilvl w:val="1"/>
          <w:numId w:val="3"/>
        </w:numPr>
        <w:rPr>
          <w:u w:val="single"/>
        </w:rPr>
      </w:pPr>
      <w:r>
        <w:t xml:space="preserve">New RRH serving individuals and families </w:t>
      </w:r>
      <w:r w:rsidR="00F76A58">
        <w:t>or youth</w:t>
      </w:r>
    </w:p>
    <w:p w:rsidR="007232B2" w:rsidRPr="002E39B7" w:rsidRDefault="007232B2" w:rsidP="007232B2">
      <w:pPr>
        <w:pStyle w:val="ListParagraph"/>
        <w:numPr>
          <w:ilvl w:val="1"/>
          <w:numId w:val="3"/>
        </w:numPr>
        <w:rPr>
          <w:u w:val="single"/>
        </w:rPr>
      </w:pPr>
      <w:r>
        <w:t xml:space="preserve">New </w:t>
      </w:r>
      <w:r w:rsidR="002E39B7">
        <w:t>Joint TH and PH-RRH to serve individuals &amp; families, including those fleeing or attempting to flee domestic violence, dating violence, sexual assault, or stalking who meeting the following criteria:</w:t>
      </w:r>
    </w:p>
    <w:p w:rsidR="002E39B7" w:rsidRPr="002E39B7" w:rsidRDefault="002E39B7" w:rsidP="002E39B7">
      <w:pPr>
        <w:pStyle w:val="ListParagraph"/>
        <w:numPr>
          <w:ilvl w:val="2"/>
          <w:numId w:val="3"/>
        </w:numPr>
        <w:rPr>
          <w:u w:val="single"/>
        </w:rPr>
      </w:pPr>
      <w:r>
        <w:t>Residing in place not meant for human habitation</w:t>
      </w:r>
    </w:p>
    <w:p w:rsidR="002E39B7" w:rsidRPr="002E39B7" w:rsidRDefault="002E39B7" w:rsidP="002E39B7">
      <w:pPr>
        <w:pStyle w:val="ListParagraph"/>
        <w:numPr>
          <w:ilvl w:val="2"/>
          <w:numId w:val="3"/>
        </w:numPr>
        <w:rPr>
          <w:u w:val="single"/>
        </w:rPr>
      </w:pPr>
      <w:r>
        <w:t>Residing in an emergency shelter</w:t>
      </w:r>
    </w:p>
    <w:p w:rsidR="002E39B7" w:rsidRPr="002E39B7" w:rsidRDefault="002E39B7" w:rsidP="002E39B7">
      <w:pPr>
        <w:pStyle w:val="ListParagraph"/>
        <w:numPr>
          <w:ilvl w:val="2"/>
          <w:numId w:val="3"/>
        </w:numPr>
        <w:rPr>
          <w:u w:val="single"/>
        </w:rPr>
      </w:pPr>
      <w:r>
        <w:t>Persons meeting criteria of paragraph (4) of the definition of homeless + DV</w:t>
      </w:r>
    </w:p>
    <w:p w:rsidR="002E39B7" w:rsidRPr="002E39B7" w:rsidRDefault="002E39B7" w:rsidP="002E39B7">
      <w:pPr>
        <w:pStyle w:val="ListParagraph"/>
        <w:numPr>
          <w:ilvl w:val="2"/>
          <w:numId w:val="3"/>
        </w:numPr>
        <w:rPr>
          <w:u w:val="single"/>
        </w:rPr>
      </w:pPr>
      <w:r>
        <w:t>Residing in transitional project that is being eliminated</w:t>
      </w:r>
    </w:p>
    <w:p w:rsidR="002E39B7" w:rsidRPr="002E39B7" w:rsidRDefault="002E39B7" w:rsidP="002E39B7">
      <w:pPr>
        <w:pStyle w:val="ListParagraph"/>
        <w:numPr>
          <w:ilvl w:val="2"/>
          <w:numId w:val="3"/>
        </w:numPr>
        <w:rPr>
          <w:u w:val="single"/>
        </w:rPr>
      </w:pPr>
      <w:r>
        <w:t>Residing in transitional housing funded by Joint TH &amp; PH RRH or</w:t>
      </w:r>
    </w:p>
    <w:p w:rsidR="002E39B7" w:rsidRPr="007232B2" w:rsidRDefault="002E39B7" w:rsidP="002E39B7">
      <w:pPr>
        <w:pStyle w:val="ListParagraph"/>
        <w:numPr>
          <w:ilvl w:val="2"/>
          <w:numId w:val="3"/>
        </w:numPr>
        <w:rPr>
          <w:u w:val="single"/>
        </w:rPr>
      </w:pPr>
      <w:r>
        <w:t>Receiving services form VA funded homeless assistance program &amp; met one of above criteria</w:t>
      </w:r>
    </w:p>
    <w:p w:rsidR="007232B2" w:rsidRPr="007232B2" w:rsidRDefault="007232B2" w:rsidP="007232B2">
      <w:pPr>
        <w:pStyle w:val="ListParagraph"/>
        <w:numPr>
          <w:ilvl w:val="1"/>
          <w:numId w:val="3"/>
        </w:numPr>
        <w:rPr>
          <w:u w:val="single"/>
        </w:rPr>
      </w:pPr>
      <w:r>
        <w:t xml:space="preserve">New HMIS for the costs of 24 CFR </w:t>
      </w:r>
      <w:r w:rsidR="00DE2D05">
        <w:t>578.37 carried</w:t>
      </w:r>
      <w:r>
        <w:t xml:space="preserve"> out by the HMIS lead.</w:t>
      </w:r>
    </w:p>
    <w:p w:rsidR="007232B2" w:rsidRDefault="007232B2" w:rsidP="007232B2">
      <w:pPr>
        <w:pStyle w:val="ListParagraph"/>
        <w:numPr>
          <w:ilvl w:val="0"/>
          <w:numId w:val="4"/>
        </w:numPr>
      </w:pPr>
      <w:r w:rsidRPr="007232B2">
        <w:rPr>
          <w:u w:val="single"/>
        </w:rPr>
        <w:lastRenderedPageBreak/>
        <w:t>Expansion projects</w:t>
      </w:r>
      <w:r w:rsidRPr="007232B2">
        <w:t xml:space="preserve"> can be requested under the bonus or reallocation in order to expand existing units in a project or serve additional persons, or in the case of HMIS, grant activities will be expanded within CoC and fits into the funding parameters of bonus or reallocation.</w:t>
      </w:r>
    </w:p>
    <w:p w:rsidR="0043458D" w:rsidRPr="0043458D" w:rsidRDefault="0043458D" w:rsidP="0043458D">
      <w:pPr>
        <w:pStyle w:val="ListParagraph"/>
        <w:numPr>
          <w:ilvl w:val="1"/>
          <w:numId w:val="4"/>
        </w:numPr>
      </w:pPr>
      <w:r w:rsidRPr="0043458D">
        <w:t>Expand an existing project with DV Bonus</w:t>
      </w:r>
    </w:p>
    <w:p w:rsidR="007232B2" w:rsidRDefault="007232B2" w:rsidP="007232B2"/>
    <w:p w:rsidR="007232B2" w:rsidRPr="007232B2" w:rsidRDefault="007232B2" w:rsidP="007232B2">
      <w:pPr>
        <w:rPr>
          <w:u w:val="single"/>
        </w:rPr>
      </w:pPr>
      <w:r w:rsidRPr="007232B2">
        <w:rPr>
          <w:u w:val="single"/>
        </w:rPr>
        <w:t>Important links:</w:t>
      </w:r>
    </w:p>
    <w:p w:rsidR="007232B2" w:rsidRDefault="007232B2" w:rsidP="007232B2">
      <w:pPr>
        <w:pStyle w:val="ListParagraph"/>
        <w:numPr>
          <w:ilvl w:val="0"/>
          <w:numId w:val="4"/>
        </w:numPr>
      </w:pPr>
      <w:r>
        <w:t xml:space="preserve">Competition page:  </w:t>
      </w:r>
      <w:hyperlink r:id="rId8" w:history="1">
        <w:r w:rsidR="0007469A" w:rsidRPr="0007469A">
          <w:rPr>
            <w:rFonts w:ascii="Calibri" w:eastAsia="Times New Roman" w:hAnsi="Calibri" w:cs="Calibri"/>
            <w:color w:val="0000FF"/>
            <w:u w:val="single"/>
          </w:rPr>
          <w:t>https://www.hudexchange.info/programs/e-snaps/fy-2018-coc-program-nofa-coc-program-competition/</w:t>
        </w:r>
      </w:hyperlink>
    </w:p>
    <w:p w:rsidR="007232B2" w:rsidRPr="0007469A" w:rsidRDefault="00C91AF8" w:rsidP="00C91AF8">
      <w:pPr>
        <w:pStyle w:val="NormalWeb"/>
        <w:numPr>
          <w:ilvl w:val="0"/>
          <w:numId w:val="4"/>
        </w:numPr>
        <w:spacing w:after="0"/>
        <w:rPr>
          <w:rFonts w:ascii="Calibri" w:eastAsia="Times New Roman" w:hAnsi="Calibri" w:cs="Calibri"/>
          <w:sz w:val="22"/>
          <w:szCs w:val="22"/>
        </w:rPr>
      </w:pPr>
      <w:r>
        <w:rPr>
          <w:rFonts w:asciiTheme="minorHAnsi" w:hAnsiTheme="minorHAnsi" w:cstheme="minorHAnsi"/>
          <w:sz w:val="22"/>
          <w:szCs w:val="22"/>
        </w:rPr>
        <w:t>The full FY2018</w:t>
      </w:r>
      <w:r w:rsidR="0007469A">
        <w:rPr>
          <w:rFonts w:asciiTheme="minorHAnsi" w:hAnsiTheme="minorHAnsi" w:cstheme="minorHAnsi"/>
          <w:sz w:val="22"/>
          <w:szCs w:val="22"/>
        </w:rPr>
        <w:t xml:space="preserve"> NOFA</w:t>
      </w:r>
      <w:r w:rsidR="007232B2" w:rsidRPr="0007469A">
        <w:rPr>
          <w:rFonts w:asciiTheme="minorHAnsi" w:hAnsiTheme="minorHAnsi" w:cstheme="minorHAnsi"/>
          <w:sz w:val="22"/>
          <w:szCs w:val="22"/>
        </w:rPr>
        <w:t>:</w:t>
      </w:r>
      <w:r w:rsidR="007232B2">
        <w:t xml:space="preserve">  </w:t>
      </w:r>
      <w:hyperlink r:id="rId9" w:history="1">
        <w:r w:rsidRPr="00E16AF4">
          <w:rPr>
            <w:rStyle w:val="Hyperlink"/>
          </w:rPr>
          <w:t>https://www.hudexchange.info/resources/documents/FY-2018-CoC-Program-Competition-NOFA.pdf</w:t>
        </w:r>
      </w:hyperlink>
      <w:r>
        <w:t xml:space="preserve"> </w:t>
      </w:r>
    </w:p>
    <w:p w:rsidR="007232B2" w:rsidRDefault="007232B2" w:rsidP="007232B2">
      <w:pPr>
        <w:pStyle w:val="ListParagraph"/>
        <w:numPr>
          <w:ilvl w:val="0"/>
          <w:numId w:val="4"/>
        </w:numPr>
      </w:pPr>
      <w:r>
        <w:t xml:space="preserve">HUD Ask A Question (AAQ): </w:t>
      </w:r>
      <w:hyperlink r:id="rId10" w:history="1">
        <w:r w:rsidRPr="00041D36">
          <w:rPr>
            <w:rStyle w:val="Hyperlink"/>
          </w:rPr>
          <w:t>www.hudexchange.info/get-assistance/</w:t>
        </w:r>
      </w:hyperlink>
      <w:r>
        <w:t>.</w:t>
      </w:r>
    </w:p>
    <w:p w:rsidR="00E65671" w:rsidRPr="00E65671" w:rsidRDefault="003150A8" w:rsidP="003150A8">
      <w:pPr>
        <w:pStyle w:val="ListParagraph"/>
        <w:numPr>
          <w:ilvl w:val="0"/>
          <w:numId w:val="4"/>
        </w:numPr>
        <w:rPr>
          <w:b/>
        </w:rPr>
      </w:pPr>
      <w:r>
        <w:t>Central MN</w:t>
      </w:r>
      <w:r w:rsidR="00E70819">
        <w:t xml:space="preserve"> CoC website:</w:t>
      </w:r>
      <w:r w:rsidR="00E70819">
        <w:rPr>
          <w:color w:val="1F497D"/>
        </w:rPr>
        <w:t xml:space="preserve"> </w:t>
      </w:r>
      <w:hyperlink r:id="rId11" w:history="1">
        <w:r w:rsidR="00E65671" w:rsidRPr="008B0A90">
          <w:rPr>
            <w:rStyle w:val="Hyperlink"/>
          </w:rPr>
          <w:t>https://www.cmhp.net/continuum-of-care-</w:t>
        </w:r>
      </w:hyperlink>
    </w:p>
    <w:p w:rsidR="007232B2" w:rsidRDefault="003150A8" w:rsidP="003150A8">
      <w:pPr>
        <w:pStyle w:val="ListParagraph"/>
        <w:numPr>
          <w:ilvl w:val="0"/>
          <w:numId w:val="4"/>
        </w:numPr>
        <w:rPr>
          <w:b/>
        </w:rPr>
      </w:pPr>
      <w:r w:rsidRPr="00DB1F71">
        <w:rPr>
          <w:u w:val="single"/>
        </w:rPr>
        <w:t xml:space="preserve"> </w:t>
      </w:r>
      <w:r w:rsidR="007232B2" w:rsidRPr="00DB1F71">
        <w:rPr>
          <w:u w:val="single"/>
        </w:rPr>
        <w:t>Eligible Project Applicants</w:t>
      </w:r>
      <w:r w:rsidR="007232B2">
        <w:t xml:space="preserve">:  Eligible project applicants are nonprofit organizations, states, local governments, and instrumentalities of State and local governments, and public housing agencies, as such term is defined in 24 CFR 5.100.  For profit entities are not eligible to apply for grants or to be sub-recipients of grant funds.  </w:t>
      </w:r>
      <w:r w:rsidR="007232B2" w:rsidRPr="00DB1F71">
        <w:rPr>
          <w:b/>
        </w:rPr>
        <w:t>Furthermore, to be eligible for funding applicants must meet all HUD statu</w:t>
      </w:r>
      <w:r w:rsidR="00DB1F71" w:rsidRPr="00DB1F71">
        <w:rPr>
          <w:b/>
        </w:rPr>
        <w:t>tory, regulatory and threshold requirements.</w:t>
      </w:r>
    </w:p>
    <w:p w:rsidR="00DB1F71" w:rsidRDefault="00DB1F71" w:rsidP="007232B2">
      <w:pPr>
        <w:rPr>
          <w:b/>
        </w:rPr>
      </w:pPr>
      <w:r>
        <w:rPr>
          <w:b/>
        </w:rPr>
        <w:t>HUDs Homeless Policy and Program Priorities:</w:t>
      </w:r>
    </w:p>
    <w:p w:rsidR="00DB1F71" w:rsidRDefault="00DB1F71" w:rsidP="00DB1F71">
      <w:pPr>
        <w:ind w:firstLine="720"/>
      </w:pPr>
      <w:r>
        <w:t>1</w:t>
      </w:r>
      <w:r w:rsidRPr="00B223B7">
        <w:rPr>
          <w:u w:val="single"/>
        </w:rPr>
        <w:t>. Ending homelessness for all persons</w:t>
      </w:r>
    </w:p>
    <w:p w:rsidR="00DB1F71" w:rsidRDefault="00DB1F71" w:rsidP="007232B2">
      <w:pPr>
        <w:pStyle w:val="ListParagraph"/>
        <w:numPr>
          <w:ilvl w:val="0"/>
          <w:numId w:val="5"/>
        </w:numPr>
      </w:pPr>
      <w:r>
        <w:t>Identify, engage, and effectively serve all persons experiencing homelessness</w:t>
      </w:r>
    </w:p>
    <w:p w:rsidR="00DB1F71" w:rsidRDefault="00DB1F71" w:rsidP="007232B2">
      <w:pPr>
        <w:pStyle w:val="ListParagraph"/>
        <w:numPr>
          <w:ilvl w:val="0"/>
          <w:numId w:val="5"/>
        </w:numPr>
      </w:pPr>
      <w:r>
        <w:t>Measure performance based on data taking into account the challenges faced by all subpopulations experiencing homelessness in the geographic area.</w:t>
      </w:r>
    </w:p>
    <w:p w:rsidR="00DB1F71" w:rsidRDefault="00DB1F71" w:rsidP="007232B2">
      <w:pPr>
        <w:pStyle w:val="ListParagraph"/>
        <w:numPr>
          <w:ilvl w:val="0"/>
          <w:numId w:val="5"/>
        </w:numPr>
      </w:pPr>
      <w:r>
        <w:t>Comprehensive outreach strategy in place to identify and engage.</w:t>
      </w:r>
    </w:p>
    <w:p w:rsidR="00DB1F71" w:rsidRDefault="00DB1F71" w:rsidP="007232B2">
      <w:pPr>
        <w:pStyle w:val="ListParagraph"/>
        <w:numPr>
          <w:ilvl w:val="0"/>
          <w:numId w:val="5"/>
        </w:numPr>
      </w:pPr>
      <w:r>
        <w:t>Use data to understand the population and develop services tailored to their needs.</w:t>
      </w:r>
    </w:p>
    <w:p w:rsidR="00DB1F71" w:rsidRDefault="00DB1F71" w:rsidP="007232B2">
      <w:pPr>
        <w:pStyle w:val="ListParagraph"/>
        <w:numPr>
          <w:ilvl w:val="0"/>
          <w:numId w:val="5"/>
        </w:numPr>
      </w:pPr>
      <w:r>
        <w:t>Use the reallocation process to create new projects that improve the overall performance and better respond to the needs of persons who are homeless.</w:t>
      </w:r>
    </w:p>
    <w:p w:rsidR="00DB1F71" w:rsidRDefault="00DB1F71" w:rsidP="00DB1F71">
      <w:pPr>
        <w:ind w:left="720"/>
      </w:pPr>
      <w:r>
        <w:t xml:space="preserve">2. </w:t>
      </w:r>
      <w:r w:rsidRPr="00B06E98">
        <w:rPr>
          <w:u w:val="single"/>
        </w:rPr>
        <w:t>Create a systemic response to homelessness</w:t>
      </w:r>
    </w:p>
    <w:p w:rsidR="00DB1F71" w:rsidRDefault="00DB1F71" w:rsidP="00DB1F71">
      <w:pPr>
        <w:pStyle w:val="ListParagraph"/>
        <w:numPr>
          <w:ilvl w:val="0"/>
          <w:numId w:val="6"/>
        </w:numPr>
      </w:pPr>
      <w:r>
        <w:t>Use sys</w:t>
      </w:r>
      <w:r w:rsidR="004539F0">
        <w:t>tem performance measures (</w:t>
      </w:r>
      <w:proofErr w:type="spellStart"/>
      <w:r w:rsidR="004539F0">
        <w:t>SysPM</w:t>
      </w:r>
      <w:r>
        <w:t>s</w:t>
      </w:r>
      <w:proofErr w:type="spellEnd"/>
      <w:r>
        <w:t>) to determine how effectively they are serving people experiencing homelessness.</w:t>
      </w:r>
    </w:p>
    <w:p w:rsidR="00C23F7E" w:rsidRDefault="00DB1F71" w:rsidP="00C23F7E">
      <w:pPr>
        <w:pStyle w:val="ListParagraph"/>
        <w:numPr>
          <w:ilvl w:val="0"/>
          <w:numId w:val="6"/>
        </w:numPr>
      </w:pPr>
      <w:r>
        <w:t>Use Coordinated Entry to promote participant choice, coordinate servi</w:t>
      </w:r>
      <w:r w:rsidR="004539F0">
        <w:t>c</w:t>
      </w:r>
      <w:r>
        <w:t>es, ensure rapid access, and make homeless assistance open, inclusive, and transparent.</w:t>
      </w:r>
    </w:p>
    <w:p w:rsidR="00DB1F71" w:rsidRDefault="00DB1F71" w:rsidP="00DB1F71">
      <w:pPr>
        <w:ind w:left="720"/>
      </w:pPr>
      <w:r>
        <w:t xml:space="preserve">3. </w:t>
      </w:r>
      <w:r w:rsidRPr="00B06E98">
        <w:rPr>
          <w:u w:val="single"/>
        </w:rPr>
        <w:t>Strategically allocating and using resources</w:t>
      </w:r>
    </w:p>
    <w:p w:rsidR="00DB1F71" w:rsidRDefault="00DB1F71" w:rsidP="00DB1F71">
      <w:pPr>
        <w:pStyle w:val="ListParagraph"/>
        <w:numPr>
          <w:ilvl w:val="0"/>
          <w:numId w:val="7"/>
        </w:numPr>
      </w:pPr>
      <w:r>
        <w:t>Use cost, performance, and outcome date to improve resources allocation to end homelessness.</w:t>
      </w:r>
    </w:p>
    <w:p w:rsidR="00DB1F71" w:rsidRDefault="00DB1F71" w:rsidP="00DB1F71">
      <w:pPr>
        <w:pStyle w:val="ListParagraph"/>
        <w:numPr>
          <w:ilvl w:val="0"/>
          <w:numId w:val="7"/>
        </w:numPr>
      </w:pPr>
      <w:r>
        <w:t>Review project quality, performance, and cost effectiveness.</w:t>
      </w:r>
    </w:p>
    <w:p w:rsidR="00DB1F71" w:rsidRDefault="00DB1F71" w:rsidP="00DB1F71">
      <w:pPr>
        <w:pStyle w:val="ListParagraph"/>
        <w:numPr>
          <w:ilvl w:val="0"/>
          <w:numId w:val="7"/>
        </w:numPr>
      </w:pPr>
      <w:r>
        <w:t>Maximize the use of mainstream and other community-based services.</w:t>
      </w:r>
    </w:p>
    <w:p w:rsidR="00DB1F71" w:rsidRDefault="00DB1F71" w:rsidP="00DB1F71">
      <w:pPr>
        <w:pStyle w:val="ListParagraph"/>
        <w:numPr>
          <w:ilvl w:val="0"/>
          <w:numId w:val="7"/>
        </w:numPr>
      </w:pPr>
      <w:r>
        <w:lastRenderedPageBreak/>
        <w:t>Review all projects eli</w:t>
      </w:r>
      <w:r w:rsidR="004539F0">
        <w:t>gible for renewal in FY 2018</w:t>
      </w:r>
      <w:r>
        <w:t xml:space="preserve"> to determine their effectiveness in serving people</w:t>
      </w:r>
      <w:r w:rsidR="00645846">
        <w:t xml:space="preserve"> experiencing homelessness as well as their cost effectiveness.</w:t>
      </w:r>
    </w:p>
    <w:p w:rsidR="00645846" w:rsidRDefault="00645846" w:rsidP="00645846">
      <w:pPr>
        <w:ind w:left="720"/>
      </w:pPr>
      <w:r>
        <w:t xml:space="preserve">4. </w:t>
      </w:r>
      <w:r w:rsidRPr="00645846">
        <w:rPr>
          <w:u w:val="single"/>
        </w:rPr>
        <w:t>Use a Housing First Approach</w:t>
      </w:r>
    </w:p>
    <w:p w:rsidR="00645846" w:rsidRDefault="00645846" w:rsidP="00645846">
      <w:pPr>
        <w:pStyle w:val="ListParagraph"/>
        <w:numPr>
          <w:ilvl w:val="0"/>
          <w:numId w:val="8"/>
        </w:numPr>
      </w:pPr>
      <w:r>
        <w:t>Prioritize rapid placement and stabilization in permanent housing.</w:t>
      </w:r>
    </w:p>
    <w:p w:rsidR="00645846" w:rsidRDefault="00645846" w:rsidP="00645846">
      <w:pPr>
        <w:pStyle w:val="ListParagraph"/>
        <w:numPr>
          <w:ilvl w:val="0"/>
          <w:numId w:val="8"/>
        </w:numPr>
      </w:pPr>
      <w:r>
        <w:t>Does NOT have service participation requirements or preconditions.</w:t>
      </w:r>
    </w:p>
    <w:p w:rsidR="00645846" w:rsidRDefault="00645846" w:rsidP="00645846">
      <w:pPr>
        <w:pStyle w:val="ListParagraph"/>
        <w:numPr>
          <w:ilvl w:val="0"/>
          <w:numId w:val="8"/>
        </w:numPr>
      </w:pPr>
      <w:r>
        <w:t>Projects should help individuals and families move quickly into permanent housing.</w:t>
      </w:r>
    </w:p>
    <w:p w:rsidR="00645846" w:rsidRDefault="00645846" w:rsidP="00645846">
      <w:pPr>
        <w:pStyle w:val="ListParagraph"/>
        <w:numPr>
          <w:ilvl w:val="0"/>
          <w:numId w:val="8"/>
        </w:numPr>
      </w:pPr>
      <w:r>
        <w:t>Measure to help projects reduce the length of time people experience homelessness.</w:t>
      </w:r>
    </w:p>
    <w:p w:rsidR="00645846" w:rsidRDefault="00645846" w:rsidP="00645846">
      <w:pPr>
        <w:pStyle w:val="ListParagraph"/>
        <w:numPr>
          <w:ilvl w:val="0"/>
          <w:numId w:val="8"/>
        </w:numPr>
      </w:pPr>
      <w:r>
        <w:t>Engage landlords and property owners.</w:t>
      </w:r>
    </w:p>
    <w:p w:rsidR="00645846" w:rsidRDefault="00645846" w:rsidP="00645846">
      <w:pPr>
        <w:pStyle w:val="ListParagraph"/>
        <w:numPr>
          <w:ilvl w:val="0"/>
          <w:numId w:val="8"/>
        </w:numPr>
      </w:pPr>
      <w:r>
        <w:t>Remove barriers to entry.</w:t>
      </w:r>
    </w:p>
    <w:p w:rsidR="00645846" w:rsidRDefault="00645846" w:rsidP="00645846">
      <w:pPr>
        <w:pStyle w:val="ListParagraph"/>
        <w:numPr>
          <w:ilvl w:val="0"/>
          <w:numId w:val="8"/>
        </w:numPr>
      </w:pPr>
      <w:r>
        <w:t>Adopt client-centered service models.</w:t>
      </w:r>
    </w:p>
    <w:p w:rsidR="00645846" w:rsidRDefault="00645846" w:rsidP="00645846">
      <w:pPr>
        <w:rPr>
          <w:u w:val="single"/>
        </w:rPr>
      </w:pPr>
      <w:r w:rsidRPr="00645846">
        <w:rPr>
          <w:u w:val="single"/>
        </w:rPr>
        <w:t>Project Application Attachment Checklist:</w:t>
      </w:r>
    </w:p>
    <w:p w:rsidR="00645846" w:rsidRPr="00645846" w:rsidRDefault="00645846" w:rsidP="00645846">
      <w:pPr>
        <w:pStyle w:val="ListParagraph"/>
        <w:numPr>
          <w:ilvl w:val="0"/>
          <w:numId w:val="9"/>
        </w:numPr>
        <w:rPr>
          <w:u w:val="single"/>
        </w:rPr>
      </w:pPr>
      <w:r>
        <w:t>Project Application, charts, narratives and attachments</w:t>
      </w:r>
    </w:p>
    <w:p w:rsidR="00645846" w:rsidRPr="00645846" w:rsidRDefault="00645846" w:rsidP="00645846">
      <w:pPr>
        <w:pStyle w:val="ListParagraph"/>
        <w:numPr>
          <w:ilvl w:val="0"/>
          <w:numId w:val="9"/>
        </w:numPr>
        <w:rPr>
          <w:u w:val="single"/>
        </w:rPr>
      </w:pPr>
      <w:r>
        <w:t>SF-424 Application for Federal Assistance</w:t>
      </w:r>
    </w:p>
    <w:p w:rsidR="00645846" w:rsidRPr="00645846" w:rsidRDefault="00645846" w:rsidP="00645846">
      <w:pPr>
        <w:pStyle w:val="ListParagraph"/>
        <w:numPr>
          <w:ilvl w:val="0"/>
          <w:numId w:val="9"/>
        </w:numPr>
        <w:rPr>
          <w:u w:val="single"/>
        </w:rPr>
      </w:pPr>
      <w:r>
        <w:t>SF-424 Supplement, Survey on Ensuring Equal Opportunities</w:t>
      </w:r>
    </w:p>
    <w:p w:rsidR="00645846" w:rsidRPr="00645846" w:rsidRDefault="00645846" w:rsidP="00645846">
      <w:pPr>
        <w:pStyle w:val="ListParagraph"/>
        <w:numPr>
          <w:ilvl w:val="0"/>
          <w:numId w:val="9"/>
        </w:numPr>
        <w:rPr>
          <w:u w:val="single"/>
        </w:rPr>
      </w:pPr>
      <w:r>
        <w:t>Documentation of Applicant and Sub-Recipient Eligibility</w:t>
      </w:r>
    </w:p>
    <w:p w:rsidR="00645846" w:rsidRPr="00645846" w:rsidRDefault="00645846" w:rsidP="00645846">
      <w:pPr>
        <w:pStyle w:val="ListParagraph"/>
        <w:numPr>
          <w:ilvl w:val="0"/>
          <w:numId w:val="9"/>
        </w:numPr>
        <w:rPr>
          <w:u w:val="single"/>
        </w:rPr>
      </w:pPr>
      <w:r>
        <w:t>Applicant Certifications</w:t>
      </w:r>
    </w:p>
    <w:p w:rsidR="00645846" w:rsidRPr="00645846" w:rsidRDefault="00645846" w:rsidP="00645846">
      <w:pPr>
        <w:pStyle w:val="ListParagraph"/>
        <w:numPr>
          <w:ilvl w:val="0"/>
          <w:numId w:val="9"/>
        </w:numPr>
        <w:rPr>
          <w:u w:val="single"/>
        </w:rPr>
      </w:pPr>
      <w:r>
        <w:t xml:space="preserve">HUD 2880, Applicant/Recipient Disclosure/Update Report </w:t>
      </w:r>
    </w:p>
    <w:p w:rsidR="00645846" w:rsidRPr="00645846" w:rsidRDefault="00645846" w:rsidP="00645846">
      <w:pPr>
        <w:pStyle w:val="ListParagraph"/>
        <w:numPr>
          <w:ilvl w:val="0"/>
          <w:numId w:val="9"/>
        </w:numPr>
        <w:rPr>
          <w:u w:val="single"/>
        </w:rPr>
      </w:pPr>
      <w:r>
        <w:t>Applicant Code of Conduct</w:t>
      </w:r>
    </w:p>
    <w:p w:rsidR="00645846" w:rsidRPr="00645846" w:rsidRDefault="00645846" w:rsidP="00645846">
      <w:pPr>
        <w:pStyle w:val="ListParagraph"/>
        <w:numPr>
          <w:ilvl w:val="0"/>
          <w:numId w:val="9"/>
        </w:numPr>
        <w:rPr>
          <w:u w:val="single"/>
        </w:rPr>
      </w:pPr>
      <w:r>
        <w:t xml:space="preserve">HUD 50070, Certification of Drug Free </w:t>
      </w:r>
      <w:r w:rsidR="0002736F">
        <w:t xml:space="preserve">Workplace </w:t>
      </w:r>
    </w:p>
    <w:p w:rsidR="00645846" w:rsidRDefault="00645846" w:rsidP="00645846"/>
    <w:p w:rsidR="00DB1F71" w:rsidRDefault="00DB1F71" w:rsidP="00DB1F71"/>
    <w:p w:rsidR="00DB1F71" w:rsidRDefault="00DB1F71" w:rsidP="007232B2"/>
    <w:p w:rsidR="00DB1F71" w:rsidRDefault="00DB1F71" w:rsidP="007232B2"/>
    <w:p w:rsidR="00DB1F71" w:rsidRDefault="00DB1F71" w:rsidP="007232B2"/>
    <w:p w:rsidR="00DB1F71" w:rsidRPr="00DB1F71" w:rsidRDefault="00DB1F71" w:rsidP="007232B2"/>
    <w:p w:rsidR="007232B2" w:rsidRPr="003D6FD4" w:rsidRDefault="007232B2" w:rsidP="003D6FD4">
      <w:pPr>
        <w:rPr>
          <w:u w:val="single"/>
        </w:rPr>
      </w:pPr>
    </w:p>
    <w:p w:rsidR="00E23314" w:rsidRPr="00E23314" w:rsidRDefault="00E23314" w:rsidP="00E23314"/>
    <w:p w:rsidR="00E23314" w:rsidRDefault="00E23314"/>
    <w:sectPr w:rsidR="00E2331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EC7" w:rsidRDefault="002B1EC7" w:rsidP="00F6140B">
      <w:pPr>
        <w:spacing w:after="0" w:line="240" w:lineRule="auto"/>
      </w:pPr>
      <w:r>
        <w:separator/>
      </w:r>
    </w:p>
  </w:endnote>
  <w:endnote w:type="continuationSeparator" w:id="0">
    <w:p w:rsidR="002B1EC7" w:rsidRDefault="002B1EC7" w:rsidP="00F6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EC7" w:rsidRDefault="002B1EC7" w:rsidP="00F6140B">
      <w:pPr>
        <w:spacing w:after="0" w:line="240" w:lineRule="auto"/>
      </w:pPr>
      <w:r>
        <w:separator/>
      </w:r>
    </w:p>
  </w:footnote>
  <w:footnote w:type="continuationSeparator" w:id="0">
    <w:p w:rsidR="002B1EC7" w:rsidRDefault="002B1EC7" w:rsidP="00F61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064381"/>
      <w:docPartObj>
        <w:docPartGallery w:val="Watermarks"/>
        <w:docPartUnique/>
      </w:docPartObj>
    </w:sdtPr>
    <w:sdtEndPr/>
    <w:sdtContent>
      <w:p w:rsidR="00F6140B" w:rsidRDefault="002B1E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81993"/>
    <w:multiLevelType w:val="hybridMultilevel"/>
    <w:tmpl w:val="BDBA00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3A16199"/>
    <w:multiLevelType w:val="hybridMultilevel"/>
    <w:tmpl w:val="DCEAA7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62C0282"/>
    <w:multiLevelType w:val="hybridMultilevel"/>
    <w:tmpl w:val="D0DAFB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1843807"/>
    <w:multiLevelType w:val="hybridMultilevel"/>
    <w:tmpl w:val="7474F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15CD4"/>
    <w:multiLevelType w:val="hybridMultilevel"/>
    <w:tmpl w:val="B6D20F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51DE3"/>
    <w:multiLevelType w:val="hybridMultilevel"/>
    <w:tmpl w:val="8ABA9D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854199B"/>
    <w:multiLevelType w:val="hybridMultilevel"/>
    <w:tmpl w:val="02467E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876B4"/>
    <w:multiLevelType w:val="hybridMultilevel"/>
    <w:tmpl w:val="5016C3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5F46"/>
    <w:multiLevelType w:val="hybridMultilevel"/>
    <w:tmpl w:val="1EC49C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1"/>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14"/>
    <w:rsid w:val="00002277"/>
    <w:rsid w:val="0002125E"/>
    <w:rsid w:val="000218BF"/>
    <w:rsid w:val="0002736F"/>
    <w:rsid w:val="000401F8"/>
    <w:rsid w:val="0007469A"/>
    <w:rsid w:val="000A00BD"/>
    <w:rsid w:val="000F0674"/>
    <w:rsid w:val="000F0D8B"/>
    <w:rsid w:val="00126DB5"/>
    <w:rsid w:val="001450E5"/>
    <w:rsid w:val="001A06BB"/>
    <w:rsid w:val="001C7484"/>
    <w:rsid w:val="00200F15"/>
    <w:rsid w:val="002016AF"/>
    <w:rsid w:val="0021519C"/>
    <w:rsid w:val="00277E92"/>
    <w:rsid w:val="002B1EC7"/>
    <w:rsid w:val="002E39B7"/>
    <w:rsid w:val="002F4CD0"/>
    <w:rsid w:val="003150A8"/>
    <w:rsid w:val="0031747A"/>
    <w:rsid w:val="00337911"/>
    <w:rsid w:val="003636FB"/>
    <w:rsid w:val="003C624F"/>
    <w:rsid w:val="003D6FD4"/>
    <w:rsid w:val="0041395C"/>
    <w:rsid w:val="0042262B"/>
    <w:rsid w:val="0043458D"/>
    <w:rsid w:val="004539F0"/>
    <w:rsid w:val="004701B1"/>
    <w:rsid w:val="004754B2"/>
    <w:rsid w:val="00503379"/>
    <w:rsid w:val="00524374"/>
    <w:rsid w:val="00534CA5"/>
    <w:rsid w:val="00555C94"/>
    <w:rsid w:val="005E35F3"/>
    <w:rsid w:val="00645846"/>
    <w:rsid w:val="006939B6"/>
    <w:rsid w:val="006C0E96"/>
    <w:rsid w:val="007136B4"/>
    <w:rsid w:val="007232B2"/>
    <w:rsid w:val="00782591"/>
    <w:rsid w:val="007D0226"/>
    <w:rsid w:val="008433C8"/>
    <w:rsid w:val="009504ED"/>
    <w:rsid w:val="00951837"/>
    <w:rsid w:val="00953724"/>
    <w:rsid w:val="00A165CE"/>
    <w:rsid w:val="00A21084"/>
    <w:rsid w:val="00A407ED"/>
    <w:rsid w:val="00A470EB"/>
    <w:rsid w:val="00A718B9"/>
    <w:rsid w:val="00A71DA5"/>
    <w:rsid w:val="00AB22A3"/>
    <w:rsid w:val="00AD67FC"/>
    <w:rsid w:val="00AF17A4"/>
    <w:rsid w:val="00B06E98"/>
    <w:rsid w:val="00B17269"/>
    <w:rsid w:val="00B223B7"/>
    <w:rsid w:val="00B52836"/>
    <w:rsid w:val="00B54B0B"/>
    <w:rsid w:val="00B64BA3"/>
    <w:rsid w:val="00BC3603"/>
    <w:rsid w:val="00BE39CE"/>
    <w:rsid w:val="00BF5FA0"/>
    <w:rsid w:val="00C21959"/>
    <w:rsid w:val="00C23F7E"/>
    <w:rsid w:val="00C91AF8"/>
    <w:rsid w:val="00CB5A8B"/>
    <w:rsid w:val="00D11DDF"/>
    <w:rsid w:val="00D811CF"/>
    <w:rsid w:val="00DB1F71"/>
    <w:rsid w:val="00DD1A1C"/>
    <w:rsid w:val="00DE2D05"/>
    <w:rsid w:val="00DF224B"/>
    <w:rsid w:val="00E23314"/>
    <w:rsid w:val="00E62A4B"/>
    <w:rsid w:val="00E65671"/>
    <w:rsid w:val="00E70819"/>
    <w:rsid w:val="00EA4682"/>
    <w:rsid w:val="00ED068C"/>
    <w:rsid w:val="00EE4423"/>
    <w:rsid w:val="00F6140B"/>
    <w:rsid w:val="00F76A58"/>
    <w:rsid w:val="00F777D8"/>
    <w:rsid w:val="00F94DD8"/>
    <w:rsid w:val="00FA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38E5FC9-0900-46A2-99DA-E3A9BF9F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314"/>
    <w:pPr>
      <w:ind w:left="720"/>
      <w:contextualSpacing/>
    </w:pPr>
  </w:style>
  <w:style w:type="character" w:styleId="Hyperlink">
    <w:name w:val="Hyperlink"/>
    <w:basedOn w:val="DefaultParagraphFont"/>
    <w:uiPriority w:val="99"/>
    <w:unhideWhenUsed/>
    <w:rsid w:val="007232B2"/>
    <w:rPr>
      <w:color w:val="0563C1" w:themeColor="hyperlink"/>
      <w:u w:val="single"/>
    </w:rPr>
  </w:style>
  <w:style w:type="paragraph" w:styleId="Header">
    <w:name w:val="header"/>
    <w:basedOn w:val="Normal"/>
    <w:link w:val="HeaderChar"/>
    <w:uiPriority w:val="99"/>
    <w:unhideWhenUsed/>
    <w:rsid w:val="00F61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0B"/>
  </w:style>
  <w:style w:type="paragraph" w:styleId="Footer">
    <w:name w:val="footer"/>
    <w:basedOn w:val="Normal"/>
    <w:link w:val="FooterChar"/>
    <w:uiPriority w:val="99"/>
    <w:unhideWhenUsed/>
    <w:rsid w:val="00F61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0B"/>
  </w:style>
  <w:style w:type="paragraph" w:styleId="NormalWeb">
    <w:name w:val="Normal (Web)"/>
    <w:basedOn w:val="Normal"/>
    <w:uiPriority w:val="99"/>
    <w:unhideWhenUsed/>
    <w:rsid w:val="000746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491302">
      <w:bodyDiv w:val="1"/>
      <w:marLeft w:val="0"/>
      <w:marRight w:val="0"/>
      <w:marTop w:val="0"/>
      <w:marBottom w:val="0"/>
      <w:divBdr>
        <w:top w:val="none" w:sz="0" w:space="0" w:color="auto"/>
        <w:left w:val="none" w:sz="0" w:space="0" w:color="auto"/>
        <w:bottom w:val="none" w:sz="0" w:space="0" w:color="auto"/>
        <w:right w:val="none" w:sz="0" w:space="0" w:color="auto"/>
      </w:divBdr>
    </w:div>
    <w:div w:id="1462307684">
      <w:bodyDiv w:val="1"/>
      <w:marLeft w:val="0"/>
      <w:marRight w:val="0"/>
      <w:marTop w:val="0"/>
      <w:marBottom w:val="0"/>
      <w:divBdr>
        <w:top w:val="none" w:sz="0" w:space="0" w:color="auto"/>
        <w:left w:val="none" w:sz="0" w:space="0" w:color="auto"/>
        <w:bottom w:val="none" w:sz="0" w:space="0" w:color="auto"/>
        <w:right w:val="none" w:sz="0" w:space="0" w:color="auto"/>
      </w:divBdr>
    </w:div>
    <w:div w:id="167761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e-snaps/fy-2018-coc-program-nofa-coc-program-competi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cmhp.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hp.net/continuum-of-care-" TargetMode="External"/><Relationship Id="rId5" Type="http://schemas.openxmlformats.org/officeDocument/2006/relationships/footnotes" Target="footnotes.xml"/><Relationship Id="rId10" Type="http://schemas.openxmlformats.org/officeDocument/2006/relationships/hyperlink" Target="http://www.hudexchange.info/get-assistance/" TargetMode="External"/><Relationship Id="rId4" Type="http://schemas.openxmlformats.org/officeDocument/2006/relationships/webSettings" Target="webSettings.xml"/><Relationship Id="rId9" Type="http://schemas.openxmlformats.org/officeDocument/2006/relationships/hyperlink" Target="https://www.hudexchange.info/resources/documents/FY-2018-CoC-Program-Competition-NOF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 DeRosier</dc:creator>
  <cp:keywords/>
  <dc:description/>
  <cp:lastModifiedBy>Sally Battig</cp:lastModifiedBy>
  <cp:revision>2</cp:revision>
  <dcterms:created xsi:type="dcterms:W3CDTF">2018-08-09T16:34:00Z</dcterms:created>
  <dcterms:modified xsi:type="dcterms:W3CDTF">2018-08-09T16:34:00Z</dcterms:modified>
</cp:coreProperties>
</file>